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FF86" w14:textId="77777777" w:rsidR="001A1FA7" w:rsidRPr="001A1FA7" w:rsidRDefault="001A1FA7" w:rsidP="001A1FA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FA7">
        <w:rPr>
          <w:rFonts w:ascii="Times New Roman" w:hAnsi="Times New Roman" w:cs="Times New Roman"/>
          <w:b/>
          <w:bCs/>
          <w:sz w:val="20"/>
          <w:szCs w:val="20"/>
        </w:rPr>
        <w:t>Załącznik Nr 3 do Uchwały Rady Gminy Sorkwity Nr XL/288/2022 z dnia 27 maja 2022r.</w:t>
      </w:r>
    </w:p>
    <w:p w14:paraId="00368084" w14:textId="77777777" w:rsidR="001A1FA7" w:rsidRPr="001A1FA7" w:rsidRDefault="001A1FA7" w:rsidP="001A1FA7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ECEA58" w14:textId="77777777" w:rsidR="001A1FA7" w:rsidRPr="001A1FA7" w:rsidRDefault="001A1FA7" w:rsidP="001A1FA7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FA7">
        <w:rPr>
          <w:rFonts w:ascii="Times New Roman" w:hAnsi="Times New Roman" w:cs="Times New Roman"/>
          <w:b/>
          <w:bCs/>
          <w:sz w:val="20"/>
          <w:szCs w:val="20"/>
        </w:rPr>
        <w:t xml:space="preserve">Objaśnienia przyjętych wartości </w:t>
      </w:r>
    </w:p>
    <w:p w14:paraId="2CE71A1F" w14:textId="77777777" w:rsidR="001A1FA7" w:rsidRPr="001A1FA7" w:rsidRDefault="001A1FA7" w:rsidP="001A1F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Niniejsza uchwała stanowi uaktualnienie wieloletniej prognozy finansowej do potrzeb budżetu Gminy Sorkwity. </w:t>
      </w:r>
    </w:p>
    <w:p w14:paraId="38E1EB8F" w14:textId="77777777" w:rsidR="001A1FA7" w:rsidRPr="001A1FA7" w:rsidRDefault="001A1FA7" w:rsidP="001A1F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>W wieloletniej prognozie finansowej Gminy Sorkwity na lata 2022-2032 dokonuje się zmian wynikających z uaktualnienia i dostosowania poszczególnych wielkości budżetowych do zmian wprowadzonych w budżecie Gminy na 2022 rok, w tym wartości wynikające z zaproponowanej Uchwały Gminy Sorkwity zmieniającej budżet w dniu 27 maja  2022 roku:</w:t>
      </w:r>
    </w:p>
    <w:p w14:paraId="4E168DB0" w14:textId="77777777" w:rsidR="001A1FA7" w:rsidRPr="001A1FA7" w:rsidRDefault="001A1FA7" w:rsidP="001A1FA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Arial" w:hAnsi="Arial" w:cs="Arial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>1.  W załączniku Nr 1 dokonuje się następujących zmian :</w:t>
      </w:r>
    </w:p>
    <w:p w14:paraId="52467061" w14:textId="77777777" w:rsidR="001A1FA7" w:rsidRPr="001A1FA7" w:rsidRDefault="001A1FA7" w:rsidP="001A1FA7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               zwiększa  się dochody</w:t>
      </w:r>
      <w:r w:rsidRPr="001A1FA7">
        <w:rPr>
          <w:rFonts w:ascii="Arial" w:hAnsi="Arial" w:cs="Arial"/>
          <w:sz w:val="20"/>
          <w:szCs w:val="20"/>
        </w:rPr>
        <w:t xml:space="preserve"> </w:t>
      </w:r>
      <w:r w:rsidRPr="001A1FA7">
        <w:rPr>
          <w:rFonts w:ascii="Times New Roman" w:hAnsi="Times New Roman" w:cs="Times New Roman"/>
          <w:sz w:val="20"/>
          <w:szCs w:val="20"/>
        </w:rPr>
        <w:t>ogółem do wysokości               28 618 734,13 zł, w tym:</w:t>
      </w:r>
    </w:p>
    <w:p w14:paraId="7352121A" w14:textId="77777777" w:rsidR="001A1FA7" w:rsidRPr="001A1FA7" w:rsidRDefault="001A1FA7" w:rsidP="001A1FA7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>zwiększa się dochody bieżące do wysokości          23 566 944,13 zł;</w:t>
      </w:r>
    </w:p>
    <w:p w14:paraId="2E8D599F" w14:textId="77777777" w:rsidR="001A1FA7" w:rsidRPr="001A1FA7" w:rsidRDefault="001A1FA7" w:rsidP="001A1FA7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 zwiększa się dochody majątkowe do wysokości      5 051 790,00 zł:</w:t>
      </w:r>
    </w:p>
    <w:p w14:paraId="7FB3EB12" w14:textId="77777777" w:rsidR="001A1FA7" w:rsidRPr="001A1FA7" w:rsidRDefault="001A1FA7" w:rsidP="001A1FA7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                zwiększa się wydatki ogółem do kwoty                        29 986 054,13 zł, w tym:</w:t>
      </w:r>
    </w:p>
    <w:p w14:paraId="344E083A" w14:textId="77777777" w:rsidR="001A1FA7" w:rsidRPr="001A1FA7" w:rsidRDefault="001A1FA7" w:rsidP="001A1FA7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>zwiększa się  wydatki bieżące do wysokości           23 913 579,13 zł;</w:t>
      </w:r>
    </w:p>
    <w:p w14:paraId="309E681F" w14:textId="77777777" w:rsidR="001A1FA7" w:rsidRPr="001A1FA7" w:rsidRDefault="001A1FA7" w:rsidP="001A1FA7">
      <w:pPr>
        <w:numPr>
          <w:ilvl w:val="1"/>
          <w:numId w:val="1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>zwiększa  się wydatki majątkowe do wysokości       6 072 475,00 zł.</w:t>
      </w:r>
    </w:p>
    <w:p w14:paraId="480D38F0" w14:textId="77777777" w:rsidR="001A1FA7" w:rsidRPr="001A1FA7" w:rsidRDefault="001A1FA7" w:rsidP="001A1FA7">
      <w:pPr>
        <w:tabs>
          <w:tab w:val="left" w:pos="73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737" w:right="1134" w:hanging="737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               Zmiany dochodów i wydatków podyktowane są przede wszystkim decyzjami Wojewody   Warmińsko-Mazurskiego na zmniejszenie lub zwiększenie dotacji celowych na realizację  zadań  zleconych  lub  dofinansowanie  realizacji zadań  własnych. oraz  zwiększeniem     dochodów z tytułu podatków w stosunku do sum planowanych  na 2022r. Pozostałe zmiany wynikają   z analizy wykonania   dochodów i wydatków za 2022r.    w stosunku do planu 2022r.</w:t>
      </w:r>
    </w:p>
    <w:p w14:paraId="3E4E3A8F" w14:textId="77777777" w:rsidR="001A1FA7" w:rsidRPr="001A1FA7" w:rsidRDefault="001A1FA7" w:rsidP="001A1FA7">
      <w:pPr>
        <w:tabs>
          <w:tab w:val="left" w:pos="65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651" w:right="1134" w:hanging="651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             W wyniku zmian w planie dochodów i wydatków planowany deficyt w kwocie 717320,00 zł zastępuje się planowanym deficytem w kwocie 1 367 320,00 zł, który zostanie pokryty wolnymiśrodkami z lat ubiegłych .</w:t>
      </w:r>
    </w:p>
    <w:p w14:paraId="5A2964F4" w14:textId="77777777" w:rsidR="001A1FA7" w:rsidRPr="001A1FA7" w:rsidRDefault="001A1FA7" w:rsidP="001A1FA7">
      <w:pPr>
        <w:tabs>
          <w:tab w:val="left" w:pos="65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651" w:right="1134" w:hanging="651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             Zmianie ulega również kwota w poz. 2.1.3 - wydatki na obsługę długu, która wynosiła będzie po zmianie  290 000zł. Zwiększenie planu o kwotę130 000,00 zł  nastąpiło w wyniku przeliczenia wg. aktualnego oprocentowania harmonogramów spłaty kredytów. </w:t>
      </w:r>
    </w:p>
    <w:p w14:paraId="0112B8CA" w14:textId="77777777" w:rsidR="001A1FA7" w:rsidRPr="001A1FA7" w:rsidRDefault="001A1FA7" w:rsidP="001A1FA7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Arial" w:hAnsi="Arial" w:cs="Arial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647D02F" w14:textId="77777777" w:rsidR="001A1FA7" w:rsidRPr="001A1FA7" w:rsidRDefault="001A1FA7" w:rsidP="001A1FA7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2. W załączniku Nr 1 Wieloletnia Prognoza Finansowa zmianie ulega poz.6 - Kwota długu począwszy od roku 2022 do roku 2023 , różnica wynosi kwotę 49,34 zł  i wynika z faktycznego wykonania długu na koniec 2021r. </w:t>
      </w:r>
    </w:p>
    <w:p w14:paraId="4C0A7AC2" w14:textId="77777777" w:rsidR="001A1FA7" w:rsidRPr="001A1FA7" w:rsidRDefault="001A1FA7" w:rsidP="001A1FA7">
      <w:pPr>
        <w:tabs>
          <w:tab w:val="left" w:pos="2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26" w:right="1134" w:hanging="226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>3. Załącznik Nr 2 Wykaz przedsięwzięć do WPF nie ulega zmianie.</w:t>
      </w:r>
    </w:p>
    <w:p w14:paraId="4914480E" w14:textId="77777777" w:rsidR="001A1FA7" w:rsidRPr="001A1FA7" w:rsidRDefault="001A1FA7" w:rsidP="001A1FA7">
      <w:pPr>
        <w:tabs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1A1FA7">
        <w:rPr>
          <w:rFonts w:ascii="Times New Roman" w:hAnsi="Times New Roman" w:cs="Times New Roman"/>
          <w:sz w:val="20"/>
          <w:szCs w:val="20"/>
        </w:rPr>
        <w:t xml:space="preserve">    W związku z powyższym proszę o podjęcie przedmiotowej   uchwały.</w:t>
      </w:r>
    </w:p>
    <w:p w14:paraId="7DC1FDAF" w14:textId="77777777" w:rsidR="008F4E21" w:rsidRDefault="008F4E21"/>
    <w:sectPr w:rsidR="008F4E21" w:rsidSect="001A1FA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lowerLetter"/>
      <w:lvlText w:val="%1."/>
      <w:lvlJc w:val="left"/>
      <w:pPr>
        <w:ind w:left="7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ind w:left="14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21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57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293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29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65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70649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21"/>
    <w:rsid w:val="001A1FA7"/>
    <w:rsid w:val="002D0121"/>
    <w:rsid w:val="008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3C0D-B20E-4FBC-A476-9B33BEE5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2022-05-30T09:32:00Z</dcterms:created>
  <dcterms:modified xsi:type="dcterms:W3CDTF">2022-05-30T09:32:00Z</dcterms:modified>
</cp:coreProperties>
</file>